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10. HAFTA (17 - 21 Kasım)</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000"/>
      </w:tblPr>
      <w:tblGrid>
        <w:gridCol w:w="2465"/>
        <w:gridCol w:w="3338"/>
        <w:gridCol w:w="1195"/>
        <w:gridCol w:w="3287"/>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ANLAM ARAYIŞI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E1.2. Bağımsızlık, E2.2. Sorumluluk, E3.2. Odaklanma, E3.3. Yaratıcılık, E3.5. Açık Fikirlilik, E3.7. Sistematik Olma,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SDB2.3. Sosyal Farkındalık,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D3. Çalışkanlık, D4. Dostluk, D7. Estetik, D14. Saygı, D16. Sorumluluk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OB2. Dijital Okuryazarlık, OB4. Görsel Okuryazarlık, OB9. Sanat Okuryazarlığı</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KB2.5. Sınıflandırma, KB2.13. Yapılandırma, KB2.15. Yansıtma, KB2.20. Sentezleme, KB3.1. Karar Verme</w:t>
            </w:r>
          </w:p>
        </w:tc>
      </w:tr>
      <w:tr>
        <w:tc>
          <w:tcPr>
            <w:tcW w:w="3150" w:type="dxa"/>
            <w:vAlign w:val="center"/>
          </w:tcPr>
          <w:p>
            <w:r>
              <w:rPr>
                <w:b w:val="1"/>
                <w:bCs w:val="1"/>
                <w:sz w:val="16"/>
                <w:szCs w:val="16"/>
              </w:rPr>
              <w:t>Öğrenme Çıktıları ve Süreç Bileşenleri</w:t>
            </w:r>
          </w:p>
        </w:tc>
        <w:tc>
          <w:tcPr>
            <w:tcW w:w="9450" w:type="dxa"/>
            <w:gridSpan w:val="3"/>
            <w:vAlign w:val="center"/>
          </w:tcPr>
          <w:p>
            <w:r>
              <w:rPr>
                <w:sz w:val="16"/>
                <w:szCs w:val="16"/>
              </w:rPr>
              <w:t>TDE2.1. “Anlam Arayışı” temasında ele alınan metinlerde okumayı yönetebilme</w:t>
            </w:r>
          </w:p>
          <w:p>
            <w:r>
              <w:rPr>
                <w:sz w:val="16"/>
                <w:szCs w:val="16"/>
              </w:rPr>
              <w:t>a) TDE2.1.1. İnceler ve görüş oluşturur.</w:t>
            </w:r>
            <w:r>
              <w:rPr>
                <w:sz w:val="16"/>
                <w:szCs w:val="16"/>
              </w:rPr>
              <w:br w:type="textWrapping"/>
            </w:r>
            <w:r>
              <w:rPr>
                <w:sz w:val="16"/>
                <w:szCs w:val="16"/>
              </w:rPr>
              <w:t>• Metni okumaya başlamadan önce okuma amacını belirler.</w:t>
            </w:r>
            <w:r>
              <w:rPr>
                <w:sz w:val="16"/>
                <w:szCs w:val="16"/>
              </w:rPr>
              <w:br w:type="textWrapping"/>
            </w:r>
            <w:r>
              <w:rPr>
                <w:sz w:val="16"/>
                <w:szCs w:val="16"/>
              </w:rPr>
              <w:t>• Okumadan önce metnin içerik ve türüne yönelik tahminlerde bulunur.</w:t>
            </w:r>
            <w:r>
              <w:rPr>
                <w:sz w:val="16"/>
                <w:szCs w:val="16"/>
              </w:rPr>
              <w:br w:type="textWrapping"/>
            </w:r>
            <w:r>
              <w:rPr>
                <w:sz w:val="16"/>
                <w:szCs w:val="16"/>
              </w:rPr>
              <w:t>b) TDE2.1.2. Seçim yapar.</w:t>
            </w:r>
            <w:r>
              <w:rPr>
                <w:sz w:val="16"/>
                <w:szCs w:val="16"/>
              </w:rPr>
              <w:br w:type="textWrapping"/>
            </w:r>
            <w:r>
              <w:rPr>
                <w:sz w:val="16"/>
                <w:szCs w:val="16"/>
              </w:rPr>
              <w:t>• Okuyacağı metin için uygun okuma yöntem ve stratejisi seçer.</w:t>
            </w:r>
            <w:r>
              <w:rPr>
                <w:sz w:val="16"/>
                <w:szCs w:val="16"/>
              </w:rPr>
              <w:br w:type="textWrapping"/>
            </w:r>
            <w:r>
              <w:rPr>
                <w:sz w:val="16"/>
                <w:szCs w:val="16"/>
              </w:rPr>
              <w:t>• Seçtiği okuma stratejisi ile okumayı sürdürür.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OKUMA</w:t>
            </w:r>
          </w:p>
        </w:tc>
      </w:tr>
      <w:tr>
        <w:tc>
          <w:tcPr>
            <w:tcW w:w="3150" w:type="dxa"/>
            <w:vAlign w:val="center"/>
          </w:tcPr>
          <w:p>
            <w:r>
              <w:rPr>
                <w:b w:val="1"/>
                <w:bCs w:val="1"/>
                <w:sz w:val="16"/>
                <w:szCs w:val="16"/>
              </w:rPr>
              <w:t>Öğrenme Kanıtları</w:t>
            </w:r>
          </w:p>
        </w:tc>
        <w:tc>
          <w:tcPr>
            <w:tcW w:w="9450" w:type="dxa"/>
            <w:gridSpan w:val="3"/>
            <w:vAlign w:val="center"/>
          </w:tcPr>
          <w:p>
            <w:pPr>
              <w:rPr>
                <w:sz w:val="16"/>
                <w:szCs w:val="16"/>
              </w:rPr>
            </w:pPr>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Kısa cevaplı sorular</w:t>
            </w:r>
            <w:r>
              <w:rPr>
                <w:sz w:val="16"/>
                <w:szCs w:val="16"/>
              </w:rPr>
              <w:br w:type="textWrapping"/>
            </w:r>
            <w:r>
              <w:rPr>
                <w:sz w:val="16"/>
                <w:szCs w:val="16"/>
              </w:rPr>
              <w:t>• Hikâye haritası</w:t>
            </w:r>
            <w:r>
              <w:rPr>
                <w:sz w:val="16"/>
                <w:szCs w:val="16"/>
              </w:rPr>
              <w:br w:type="textWrapping"/>
            </w:r>
            <w:r>
              <w:rPr>
                <w:sz w:val="16"/>
                <w:szCs w:val="16"/>
              </w:rPr>
              <w:t>• Açık uçlu sorular</w:t>
            </w:r>
            <w:r>
              <w:rPr>
                <w:sz w:val="16"/>
                <w:szCs w:val="16"/>
              </w:rPr>
              <w:br w:type="textWrapping"/>
            </w:r>
            <w:r>
              <w:rPr>
                <w:sz w:val="16"/>
                <w:szCs w:val="16"/>
              </w:rPr>
              <w:t>• Karşılaştırma tablosu</w:t>
            </w:r>
            <w:r>
              <w:rPr>
                <w:sz w:val="16"/>
                <w:szCs w:val="16"/>
              </w:rPr>
              <w:br w:type="textWrapping"/>
            </w:r>
            <w:r>
              <w:rPr>
                <w:sz w:val="16"/>
                <w:szCs w:val="16"/>
              </w:rPr>
              <w:t>• Kontrol listesi</w:t>
            </w:r>
            <w:r>
              <w:rPr>
                <w:sz w:val="16"/>
                <w:szCs w:val="16"/>
              </w:rPr>
              <w:br w:type="textWrapping"/>
            </w:r>
            <w:r>
              <w:rPr>
                <w:sz w:val="16"/>
                <w:szCs w:val="16"/>
              </w:rPr>
              <w:t>• Öğrenme duvarı</w:t>
            </w:r>
            <w:r>
              <w:rPr>
                <w:sz w:val="16"/>
                <w:szCs w:val="16"/>
              </w:rPr>
              <w:br w:type="textWrapping"/>
            </w:r>
            <w:r>
              <w:rPr>
                <w:sz w:val="16"/>
                <w:szCs w:val="16"/>
              </w:rPr>
              <w:t>• Çıkış kartı</w:t>
            </w:r>
            <w:r>
              <w:rPr>
                <w:sz w:val="16"/>
                <w:szCs w:val="16"/>
              </w:rPr>
              <w:br w:type="textWrapping"/>
            </w:r>
            <w:r>
              <w:rPr>
                <w:sz w:val="16"/>
                <w:szCs w:val="16"/>
              </w:rPr>
              <w:t>Konu zenginliği ve çeşitliliğini sağlayan edebî metinlerde okumayı yönetebilme ve anlam oluşturmaya yönelik kısa cevaplı sorular, hikâye haritası ve açık uçlu sorulardan yararlanılabilir. Ayrıca öğrencilerin tahlil ettikleri metinleri karşılaştırarak bir genellemeye ulaşabilmeleri için karşılaştırma tablosu, öğrenme duvarı kullanılabilir. Öğrencilerin dinleme/izleme etkinliklerine yönelik kontrol listesi, kısa cevaplı ve açık uçlu sorular ve çıkış kartları kanıt olarak kullanılabilir.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hikâyeden seçtikleri karaktere kendi yorumlarını katarak bir sunum yapabilmelerine yönelik performans görevi</w:t>
            </w:r>
            <w:r>
              <w:rPr>
                <w:sz w:val="16"/>
                <w:szCs w:val="16"/>
              </w:rPr>
              <w:br w:type="textWrapping"/>
            </w:r>
            <w:r>
              <w:rPr>
                <w:sz w:val="16"/>
                <w:szCs w:val="16"/>
              </w:rPr>
              <w:t>• Öğrencilerin dinledikleri/izledikleri şiirin temasına uygun bir şiir oluşturabilmelerine yönelik performans görevi</w:t>
            </w:r>
            <w:r>
              <w:rPr>
                <w:sz w:val="16"/>
                <w:szCs w:val="16"/>
              </w:rPr>
              <w:br w:type="textWrapping"/>
            </w:r>
            <w:r>
              <w:rPr>
                <w:sz w:val="16"/>
                <w:szCs w:val="16"/>
              </w:rPr>
              <w:t>Konuşma becerisinin gerçekleştirilebilmesi için öğrencilerden okudukları ve anlam oluşturma sürecini tamamladıkları hikâye metninden bir karakter seçmeleri ve onu günlük yaşamdaki bir kişiyle özdeşleştirerek yeniden yorumlamaları istenir. Grup çalışması şeklinde gerçekleştirilecek bu süreçte öğrencilerin sözlü anlatımları dereceli puanlama anahtarı ile puanlanır. Puanlama anahtarında Türkçenin doğru kullanımı, ses ve diksiyon, akıcılık, beden dili, içerik kurgusu, zaman yönetimi, etkileyicilik vb. ölçütler yer alır. Öğrencilere yazılı anlatımları için dinledikleri/izledikleri şiirin temasına uygun bir şiir oluşturmalarına yönelik performans görevi verilir. Performans görevi; tema, ana duygu, ritim ve ahenk ögeleri, söz varlığının bağlama uygun kullanımı vb. ölçütlerin yer aldığı bir puanlama anahtarı ile puanlanır.</w:t>
            </w:r>
            <w:r>
              <w:rPr>
                <w:sz w:val="16"/>
                <w:szCs w:val="16"/>
              </w:rPr>
              <w:br w:type="textWrapping"/>
            </w:r>
            <w:r>
              <w:rPr>
                <w:sz w:val="16"/>
                <w:szCs w:val="16"/>
              </w:rPr>
              <w:t>Tema Sonu Değerlendirme</w:t>
            </w:r>
            <w:r>
              <w:rPr>
                <w:sz w:val="16"/>
                <w:szCs w:val="16"/>
              </w:rPr>
              <w:br w:type="textWrapping"/>
            </w:r>
            <w:r>
              <w:rPr>
                <w:sz w:val="16"/>
                <w:szCs w:val="16"/>
              </w:rPr>
              <w:t>Tema sonu değerlendirme için çıkış kartı (üçgen-kare-çember) kullanılır.</w:t>
            </w:r>
          </w:p>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konu, tema, ana düşünce vb. içeriğe dair unsurları, metinle iletişim kurma sürecini, şiir türlerini, edebî metinlere yönelik temel kavramları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tespit etmek için tartışma, zihin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8. sınıfta hikâye, anı ve şiir türleriyle ilgili edinilen bilgiler, burada öğrenilecek bilgilere ve metin tahlili sürecinin sonraki aşamalarına temel oluşturur.</w:t>
            </w:r>
            <w:r>
              <w:rPr>
                <w:sz w:val="16"/>
                <w:szCs w:val="16"/>
              </w:rPr>
              <w:br w:type="textWrapping"/>
            </w:r>
            <w:r>
              <w:rPr>
                <w:sz w:val="16"/>
                <w:szCs w:val="16"/>
              </w:rPr>
              <w:t>Öğrenciler bu temada edebî eserlerin içerik unsurlarını anlayarak bir sonraki temada çözümleme ve değerlendirme aşamalarına geçebilir. Bu bağlamda metinlerin içerik unsurlarının anlaşılması, öğrencilerin günlük yaşamlarındaki iletileri daha net biçimde anlamalarına katkı sağlar.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xml:space="preserve">* Öğretmen, temaya başlamadan önce öğrencinin ana duygu ve ana düşünce kavramlarıyla ilgili ön bilgilerini yoklamak amacıyla “beyin fırtınası” tekniğini kullanarak sınıfa şu soruları sorar:  </w:t>
            </w:r>
            <w:r>
              <w:rPr>
                <w:sz w:val="16"/>
                <w:szCs w:val="16"/>
              </w:rPr>
              <w:br w:type="textWrapping"/>
            </w:r>
            <w:r>
              <w:rPr>
                <w:sz w:val="16"/>
                <w:szCs w:val="16"/>
              </w:rPr>
              <w:t xml:space="preserve">• Bir metin, onu okuyan kişilerde birden fazla duygu uyandırabilir mi (SDB1.1) ?  </w:t>
            </w:r>
            <w:r>
              <w:rPr>
                <w:sz w:val="16"/>
                <w:szCs w:val="16"/>
              </w:rPr>
              <w:br w:type="textWrapping"/>
            </w:r>
            <w:r>
              <w:rPr>
                <w:sz w:val="16"/>
                <w:szCs w:val="16"/>
              </w:rPr>
              <w:t>• Metnin ana düşüncesi birden fazla düşünceyi içerebilir mi?</w:t>
            </w:r>
          </w:p>
          <w:p>
            <w:r>
              <w:rPr>
                <w:sz w:val="16"/>
                <w:szCs w:val="16"/>
              </w:rPr>
              <w:t>* Öğrencilerden seçilen hikâye metnini okumaları istenerek sorumluluk duygusu kazanmaları desteklenir (D16).</w:t>
            </w:r>
          </w:p>
          <w:p>
            <w:r>
              <w:rPr>
                <w:sz w:val="16"/>
                <w:szCs w:val="16"/>
              </w:rPr>
              <w:t>* Okumaya başlamadan önce okumaya yönelik hazırlık yapılması, metnin başlığı ve görselinden yola çıkılarak metinle ilgili tahminde bulunulması, metnin yazılış amacının tahmin edilmesi gibi etkinlikler gerçekleştirilerek veya kısa cevaplı sorular sorularak okumayı yönetme süreci işlenir (E1.1, OB4) ve okunacak metnin özelliklerine göre okuma stratejisi belirlenir.</w:t>
            </w:r>
          </w:p>
          <w:p>
            <w:r>
              <w:rPr>
                <w:sz w:val="16"/>
                <w:szCs w:val="16"/>
              </w:rPr>
              <w:t>* Bu aşamada öğretmen, öğrencileri kısa cevaplı sorularla değerlendirir.</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inceledikleri şiire benzer bir metin kurgusu oluşturmaları istenebilir. Yazılan şiir bir şarkıya dönüştürülebilir, şiir genişletilebilir. Öğrencilerden benzer anılarını sözlü anlatıma taşımaları beklenebilir.</w:t>
            </w:r>
            <w:r>
              <w:rPr>
                <w:sz w:val="16"/>
                <w:szCs w:val="16"/>
              </w:rPr>
              <w:br w:type="textWrapping"/>
            </w:r>
            <w:r>
              <w:rPr>
                <w:sz w:val="16"/>
                <w:szCs w:val="16"/>
              </w:rPr>
              <w:t>* Öğrencilerin aynı temayı işleyen farklı türdeki eserleri karşılaştırarak eserlerin dil ve anlatım farklılıklarını belirlemeleri ve çalışmalarını genel ağdaki güvenilir ortamlarda paylaşmaları istenebilir. Öğrenciler, sevdikleri şairlerin şiirlerinden antoloji oluşturabilir.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Öğrencilerden bir fotoğraflarından hareketle anılarını yazmaları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00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2026-01-02T19:35:36Z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2026-01-03T14:00:26Z</dcterms:modified>
  <cp:revision>3</cp:revision>
  <dc:subject>Evraklarınızı otomatik hazırlar.</dc:subject>
  <dc:title>Günlük Plan Hazırlama Modülü - Öğretmen Evrak Uygulaması</dc:title>
</cp:coreProperties>
</file>